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rPr>
          <w:sz w:val="32"/>
          <w:szCs w:val="32"/>
        </w:rPr>
      </w:pPr>
    </w:p>
    <w:p>
      <w:pPr>
        <w:spacing w:line="600" w:lineRule="exact"/>
        <w:rPr>
          <w:sz w:val="32"/>
          <w:szCs w:val="32"/>
        </w:rPr>
      </w:pPr>
    </w:p>
    <w:p>
      <w:pPr>
        <w:spacing w:line="600" w:lineRule="exact"/>
        <w:rPr>
          <w:sz w:val="32"/>
          <w:szCs w:val="32"/>
        </w:rPr>
      </w:pPr>
    </w:p>
    <w:p>
      <w:pPr>
        <w:spacing w:line="620" w:lineRule="exact"/>
        <w:rPr>
          <w:rFonts w:eastAsia="长城小标宋体"/>
          <w:spacing w:val="120"/>
          <w:sz w:val="50"/>
        </w:rPr>
      </w:pPr>
      <w:r>
        <w:rPr>
          <w:rFonts w:eastAsia="创艺简标宋"/>
          <w:bCs/>
          <w:spacing w:val="30"/>
          <w:sz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144780</wp:posOffset>
                </wp:positionV>
                <wp:extent cx="5324475" cy="485775"/>
                <wp:effectExtent l="28575" t="20955" r="9525" b="26670"/>
                <wp:wrapNone/>
                <wp:docPr id="13" name="文本框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 rot="21604010">
                          <a:off x="0" y="0"/>
                          <a:ext cx="5324475" cy="4857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5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方正小标宋简体"/>
                                <w:color w:val="FF0000"/>
                                <w:sz w:val="64"/>
                                <w:szCs w:val="64"/>
                                <w14:textOutline w14:w="15875" w14:cap="flat" w14:cmpd="sng" w14:algn="ctr">
                                  <w14:solidFill>
                                    <w14:srgbClr w14:val="FF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北京建筑大学教务处文件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9pt;margin-top:11.4pt;height:38.25pt;width:419.25pt;rotation:4380f;z-index:251659264;mso-width-relative:page;mso-height-relative:page;" filled="f" stroked="f" coordsize="21600,21600" o:gfxdata="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Ollj/7YAAAACAEAAA8AAAAAAAAAAQAgAAAAIgAAAGRycy9kb3ducmV2Lnht&#10;bFBLAQIUABQAAAAIAIdO4kBrClBr+QEAAMADAAAOAAAAAAAAAAEAIAAAACcBAABkcnMvZTJvRG9j&#10;LnhtbFBLBQYAAAAABgAGAFkBAACSBQAAAAA=&#10;" adj="10800">
                <v:fill on="f" focussize="0,0"/>
                <v:stroke on="f"/>
                <v:imagedata o:title=""/>
                <o:lock v:ext="edit" text="t" aspectratio="f"/>
                <v:textbox style="mso-fit-shape-to-text:t;">
                  <w:txbxContent>
                    <w:p>
                      <w:pPr>
                        <w:pStyle w:val="5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方正小标宋简体"/>
                          <w:color w:val="FF0000"/>
                          <w:sz w:val="64"/>
                          <w:szCs w:val="64"/>
                          <w14:textOutline w14:w="15875" w14:cap="flat" w14:cmpd="sng" w14:algn="ctr">
                            <w14:solidFill>
                              <w14:srgbClr w14:val="FF0000"/>
                            </w14:solidFill>
                            <w14:prstDash w14:val="solid"/>
                            <w14:round/>
                          </w14:textOutline>
                        </w:rPr>
                        <w:t>北京建筑大学教务处文件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620" w:lineRule="exact"/>
        <w:jc w:val="center"/>
        <w:rPr>
          <w:rFonts w:eastAsia="创艺简标宋"/>
          <w:bCs/>
          <w:spacing w:val="30"/>
          <w:w w:val="90"/>
          <w:sz w:val="80"/>
        </w:rPr>
      </w:pPr>
    </w:p>
    <w:p>
      <w:pPr>
        <w:spacing w:line="500" w:lineRule="exact"/>
        <w:rPr>
          <w:rFonts w:eastAsia="长城小标宋体"/>
          <w:w w:val="90"/>
          <w:sz w:val="50"/>
        </w:rPr>
      </w:pPr>
    </w:p>
    <w:p>
      <w:pPr>
        <w:spacing w:line="500" w:lineRule="exact"/>
        <w:rPr>
          <w:rFonts w:eastAsia="长城小标宋体"/>
          <w:w w:val="90"/>
          <w:sz w:val="50"/>
        </w:rPr>
      </w:pPr>
    </w:p>
    <w:p>
      <w:pPr>
        <w:spacing w:line="500" w:lineRule="exact"/>
        <w:jc w:val="center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pacing w:val="-40"/>
          <w:sz w:val="32"/>
          <w:szCs w:val="32"/>
        </w:rPr>
        <w:t>教字</w:t>
      </w:r>
      <w:r>
        <w:rPr>
          <w:rFonts w:hint="eastAsia" w:ascii="仿宋_GB2312" w:eastAsia="仿宋_GB2312"/>
          <w:sz w:val="32"/>
          <w:szCs w:val="32"/>
        </w:rPr>
        <w:t>〔2021〕90号</w:t>
      </w:r>
    </w:p>
    <w:p>
      <w:pPr>
        <w:spacing w:line="620" w:lineRule="exact"/>
      </w:pPr>
      <w:r>
        <w:rPr>
          <w:rFonts w:hint="eastAsia" w:eastAsia="长城小标宋体"/>
          <w:spacing w:val="12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19050</wp:posOffset>
                </wp:positionH>
                <wp:positionV relativeFrom="paragraph">
                  <wp:posOffset>216535</wp:posOffset>
                </wp:positionV>
                <wp:extent cx="5600700" cy="0"/>
                <wp:effectExtent l="9525" t="16510" r="9525" b="12065"/>
                <wp:wrapNone/>
                <wp:docPr id="12" name="直接连接符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00700" cy="0"/>
                        </a:xfrm>
                        <a:prstGeom prst="line">
                          <a:avLst/>
                        </a:prstGeom>
                        <a:noFill/>
                        <a:ln w="19050" cmpd="sng">
                          <a:solidFill>
                            <a:srgbClr val="FF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.5pt;margin-top:17.05pt;height:0pt;width:441pt;z-index:251660288;mso-width-relative:page;mso-height-relative:page;" filled="f" stroked="t" coordsize="21600,21600" o:gfxdata="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">
                <v:fill on="f" focussize="0,0"/>
                <v:stroke weight="1.5pt" color="#FF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eastAsia="长城小标宋体"/>
          <w:spacing w:val="120"/>
          <w:sz w:val="44"/>
          <w:szCs w:val="44"/>
        </w:rPr>
        <w:t xml:space="preserve">          </w:t>
      </w:r>
      <w:r>
        <w:rPr>
          <w:rFonts w:hint="eastAsia"/>
        </w:rPr>
        <w:t xml:space="preserve">                             </w:t>
      </w:r>
    </w:p>
    <w:p/>
    <w:p/>
    <w:p>
      <w:pPr>
        <w:spacing w:line="480" w:lineRule="exact"/>
        <w:jc w:val="center"/>
        <w:rPr>
          <w:rFonts w:ascii="华文中宋" w:hAnsi="华文中宋" w:eastAsia="华文中宋"/>
          <w:b/>
          <w:sz w:val="40"/>
          <w:szCs w:val="32"/>
        </w:rPr>
      </w:pPr>
      <w:r>
        <w:rPr>
          <w:rFonts w:hint="eastAsia" w:ascii="华文中宋" w:hAnsi="华文中宋" w:eastAsia="华文中宋"/>
          <w:b/>
          <w:sz w:val="40"/>
          <w:szCs w:val="32"/>
        </w:rPr>
        <w:t>关于2021/2022学年第一学期</w:t>
      </w:r>
    </w:p>
    <w:p>
      <w:pPr>
        <w:spacing w:line="480" w:lineRule="exact"/>
        <w:jc w:val="center"/>
        <w:rPr>
          <w:rFonts w:ascii="华文中宋" w:hAnsi="华文中宋" w:eastAsia="华文中宋"/>
          <w:b/>
          <w:sz w:val="40"/>
          <w:szCs w:val="32"/>
        </w:rPr>
      </w:pPr>
      <w:r>
        <w:rPr>
          <w:rFonts w:hint="eastAsia" w:ascii="华文中宋" w:hAnsi="华文中宋" w:eastAsia="华文中宋"/>
          <w:b/>
          <w:sz w:val="40"/>
          <w:szCs w:val="32"/>
        </w:rPr>
        <w:t>期中教学检查的通知</w:t>
      </w:r>
    </w:p>
    <w:p>
      <w:pPr>
        <w:spacing w:line="360" w:lineRule="auto"/>
        <w:ind w:firstLine="420" w:firstLineChars="200"/>
        <w:rPr>
          <w:rFonts w:ascii="宋体" w:hAnsi="宋体"/>
        </w:rPr>
      </w:pPr>
    </w:p>
    <w:p>
      <w:pPr>
        <w:snapToGrid w:val="0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根据学校2021/2022学年第一学期教学工作安排，期中教学检查时间定于第8-12周（10月25日-11月26日）进行。为强化教学过程管理，保障教学质量，对教师基本教学规范、课堂教学质量、教风学风等进行全面检查，请各学院（部）高度重视本次教学检查工作，进一步规范教学管理，树立良好的教风、学风。具体工作安排如下：</w:t>
      </w:r>
    </w:p>
    <w:p>
      <w:pPr>
        <w:snapToGrid w:val="0"/>
        <w:spacing w:before="156" w:beforeLines="50" w:after="156" w:afterLines="50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一、检查内容</w:t>
      </w:r>
    </w:p>
    <w:p>
      <w:pPr>
        <w:numPr>
          <w:ilvl w:val="0"/>
          <w:numId w:val="1"/>
        </w:numPr>
        <w:snapToGrid w:val="0"/>
        <w:ind w:firstLine="640"/>
        <w:rPr>
          <w:rFonts w:ascii="仿宋" w:hAnsi="仿宋" w:eastAsia="仿宋" w:cs="仿宋"/>
          <w:color w:val="000000"/>
          <w:sz w:val="32"/>
          <w:szCs w:val="32"/>
          <w:shd w:val="clear" w:color="auto" w:fill="FFFFFF"/>
        </w:rPr>
      </w:pPr>
      <w:r>
        <w:rPr>
          <w:rFonts w:ascii="仿宋" w:hAnsi="仿宋" w:eastAsia="仿宋" w:cs="仿宋"/>
          <w:color w:val="000000"/>
          <w:sz w:val="32"/>
          <w:szCs w:val="32"/>
          <w:shd w:val="clear" w:color="auto" w:fill="FFFFFF"/>
        </w:rPr>
        <w:t>教师教学基本规范执行情况</w:t>
      </w:r>
      <w:r>
        <w:rPr>
          <w:rFonts w:hint="eastAsia" w:ascii="仿宋" w:hAnsi="仿宋" w:eastAsia="仿宋" w:cs="仿宋"/>
          <w:color w:val="000000"/>
          <w:sz w:val="32"/>
          <w:szCs w:val="32"/>
          <w:shd w:val="clear" w:color="auto" w:fill="FFFFFF"/>
        </w:rPr>
        <w:t>。应</w:t>
      </w:r>
      <w:r>
        <w:rPr>
          <w:rFonts w:ascii="仿宋" w:hAnsi="仿宋" w:eastAsia="仿宋" w:cs="仿宋"/>
          <w:color w:val="000000"/>
          <w:sz w:val="32"/>
          <w:szCs w:val="32"/>
          <w:shd w:val="clear" w:color="auto" w:fill="FFFFFF"/>
        </w:rPr>
        <w:t>包括课堂教学、辅导答疑、作业批改</w:t>
      </w:r>
      <w:r>
        <w:rPr>
          <w:rFonts w:hint="eastAsia" w:ascii="仿宋" w:hAnsi="仿宋" w:eastAsia="仿宋" w:cs="仿宋"/>
          <w:color w:val="000000"/>
          <w:sz w:val="32"/>
          <w:szCs w:val="32"/>
          <w:shd w:val="clear" w:color="auto" w:fill="FFFFFF"/>
        </w:rPr>
        <w:t>、课程设计、实习实践环节、期末试卷及毕业设计（论文）</w:t>
      </w:r>
      <w:r>
        <w:rPr>
          <w:rFonts w:ascii="仿宋" w:hAnsi="仿宋" w:eastAsia="仿宋" w:cs="仿宋"/>
          <w:color w:val="000000"/>
          <w:sz w:val="32"/>
          <w:szCs w:val="32"/>
          <w:shd w:val="clear" w:color="auto" w:fill="FFFFFF"/>
        </w:rPr>
        <w:t>等，</w:t>
      </w:r>
      <w:r>
        <w:rPr>
          <w:rFonts w:hint="eastAsia" w:ascii="仿宋" w:hAnsi="仿宋" w:eastAsia="仿宋" w:cs="仿宋"/>
          <w:color w:val="000000"/>
          <w:sz w:val="32"/>
          <w:szCs w:val="32"/>
          <w:shd w:val="clear" w:color="auto" w:fill="FFFFFF"/>
        </w:rPr>
        <w:t>以及</w:t>
      </w:r>
      <w:r>
        <w:rPr>
          <w:rFonts w:ascii="仿宋" w:hAnsi="仿宋" w:eastAsia="仿宋" w:cs="仿宋"/>
          <w:color w:val="000000"/>
          <w:sz w:val="32"/>
          <w:szCs w:val="32"/>
          <w:shd w:val="clear" w:color="auto" w:fill="FFFFFF"/>
        </w:rPr>
        <w:t>是否有随意调课</w:t>
      </w:r>
      <w:r>
        <w:rPr>
          <w:rFonts w:hint="eastAsia" w:ascii="仿宋" w:hAnsi="仿宋" w:eastAsia="仿宋" w:cs="仿宋"/>
          <w:color w:val="000000"/>
          <w:sz w:val="32"/>
          <w:szCs w:val="32"/>
          <w:shd w:val="clear" w:color="auto" w:fill="FFFFFF"/>
        </w:rPr>
        <w:t>、</w:t>
      </w:r>
      <w:r>
        <w:rPr>
          <w:rFonts w:ascii="仿宋" w:hAnsi="仿宋" w:eastAsia="仿宋" w:cs="仿宋"/>
          <w:color w:val="000000"/>
          <w:sz w:val="32"/>
          <w:szCs w:val="32"/>
          <w:shd w:val="clear" w:color="auto" w:fill="FFFFFF"/>
        </w:rPr>
        <w:t>自行更改上课时间、地点的情况</w:t>
      </w:r>
      <w:r>
        <w:rPr>
          <w:rFonts w:hint="eastAsia" w:ascii="仿宋" w:hAnsi="仿宋" w:eastAsia="仿宋" w:cs="仿宋"/>
          <w:color w:val="000000"/>
          <w:sz w:val="32"/>
          <w:szCs w:val="32"/>
          <w:shd w:val="clear" w:color="auto" w:fill="FFFFFF"/>
        </w:rPr>
        <w:t>。</w:t>
      </w:r>
    </w:p>
    <w:p>
      <w:pPr>
        <w:numPr>
          <w:ilvl w:val="0"/>
          <w:numId w:val="1"/>
        </w:numPr>
        <w:snapToGrid w:val="0"/>
        <w:ind w:firstLine="640"/>
        <w:rPr>
          <w:rFonts w:ascii="仿宋" w:hAnsi="仿宋" w:eastAsia="仿宋" w:cs="仿宋"/>
          <w:color w:val="0000FF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color w:val="0000FF"/>
          <w:sz w:val="32"/>
          <w:szCs w:val="32"/>
          <w:shd w:val="clear" w:color="auto" w:fill="FFFFFF"/>
        </w:rPr>
        <w:t>青年教师教学能力培养及工程实践能力提高情况，包括：院部对青年教师教学能力培养的制度文件制定以及执行情况、青年教师导师制的执行情况、青年教师的教学能力培训及工程实践能力培养情况。</w:t>
      </w:r>
    </w:p>
    <w:p>
      <w:pPr>
        <w:numPr>
          <w:ilvl w:val="0"/>
          <w:numId w:val="1"/>
        </w:numPr>
        <w:snapToGrid w:val="0"/>
        <w:ind w:firstLine="640"/>
        <w:rPr>
          <w:rFonts w:ascii="仿宋" w:hAnsi="仿宋" w:eastAsia="仿宋" w:cs="仿宋"/>
          <w:color w:val="000000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shd w:val="clear" w:color="auto" w:fill="FFFFFF"/>
        </w:rPr>
        <w:t>课堂教学质量监控。开展校院两级督导、相关职能部门、院部各级领导（包括系部教研室主任、专业负责人）、同行、教学管理人员听课和学生评教。</w:t>
      </w:r>
    </w:p>
    <w:p>
      <w:pPr>
        <w:numPr>
          <w:ilvl w:val="0"/>
          <w:numId w:val="1"/>
        </w:numPr>
        <w:snapToGrid w:val="0"/>
        <w:ind w:firstLine="640"/>
        <w:rPr>
          <w:rFonts w:ascii="仿宋" w:hAnsi="仿宋" w:eastAsia="仿宋" w:cs="仿宋"/>
          <w:color w:val="000000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shd w:val="clear" w:color="auto" w:fill="FFFFFF"/>
        </w:rPr>
        <w:t>师生座谈会。加强教风学风联动建设，</w:t>
      </w:r>
      <w:r>
        <w:rPr>
          <w:rFonts w:ascii="仿宋" w:hAnsi="仿宋" w:eastAsia="仿宋" w:cs="仿宋"/>
          <w:color w:val="000000"/>
          <w:sz w:val="32"/>
          <w:szCs w:val="32"/>
          <w:shd w:val="clear" w:color="auto" w:fill="FFFFFF"/>
        </w:rPr>
        <w:t>听取任课教师对学校教学建设、改革的意见和建议；听取学生对学校、学院（部）</w:t>
      </w:r>
      <w:r>
        <w:rPr>
          <w:rFonts w:hint="eastAsia" w:ascii="仿宋" w:hAnsi="仿宋" w:eastAsia="仿宋" w:cs="仿宋"/>
          <w:color w:val="000000"/>
          <w:sz w:val="32"/>
          <w:szCs w:val="32"/>
          <w:shd w:val="clear" w:color="auto" w:fill="FFFFFF"/>
        </w:rPr>
        <w:t>、授课</w:t>
      </w:r>
      <w:r>
        <w:rPr>
          <w:rFonts w:ascii="仿宋" w:hAnsi="仿宋" w:eastAsia="仿宋" w:cs="仿宋"/>
          <w:color w:val="000000"/>
          <w:sz w:val="32"/>
          <w:szCs w:val="32"/>
          <w:shd w:val="clear" w:color="auto" w:fill="FFFFFF"/>
        </w:rPr>
        <w:t>教师的教学</w:t>
      </w:r>
      <w:r>
        <w:rPr>
          <w:rFonts w:hint="eastAsia" w:ascii="仿宋" w:hAnsi="仿宋" w:eastAsia="仿宋" w:cs="仿宋"/>
          <w:color w:val="000000"/>
          <w:sz w:val="32"/>
          <w:szCs w:val="32"/>
          <w:shd w:val="clear" w:color="auto" w:fill="FFFFFF"/>
        </w:rPr>
        <w:t>和教学管理方面</w:t>
      </w:r>
      <w:r>
        <w:rPr>
          <w:rFonts w:ascii="仿宋" w:hAnsi="仿宋" w:eastAsia="仿宋" w:cs="仿宋"/>
          <w:color w:val="000000"/>
          <w:sz w:val="32"/>
          <w:szCs w:val="32"/>
          <w:shd w:val="clear" w:color="auto" w:fill="FFFFFF"/>
        </w:rPr>
        <w:t>的意见和建议</w:t>
      </w:r>
      <w:r>
        <w:rPr>
          <w:rFonts w:hint="eastAsia" w:ascii="仿宋" w:hAnsi="仿宋" w:eastAsia="仿宋" w:cs="仿宋"/>
          <w:color w:val="000000"/>
          <w:sz w:val="32"/>
          <w:szCs w:val="32"/>
          <w:shd w:val="clear" w:color="auto" w:fill="FFFFFF"/>
        </w:rPr>
        <w:t>。</w:t>
      </w:r>
    </w:p>
    <w:p>
      <w:pPr>
        <w:numPr>
          <w:ilvl w:val="0"/>
          <w:numId w:val="1"/>
        </w:numPr>
        <w:snapToGrid w:val="0"/>
        <w:ind w:firstLine="640"/>
        <w:rPr>
          <w:rFonts w:ascii="仿宋" w:hAnsi="仿宋" w:eastAsia="仿宋" w:cs="仿宋"/>
          <w:color w:val="000000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shd w:val="clear" w:color="auto" w:fill="FFFFFF"/>
        </w:rPr>
        <w:t>期中考试。</w:t>
      </w:r>
      <w:r>
        <w:rPr>
          <w:rFonts w:hint="eastAsia" w:ascii="仿宋" w:hAnsi="仿宋" w:eastAsia="仿宋"/>
          <w:sz w:val="32"/>
          <w:szCs w:val="32"/>
        </w:rPr>
        <w:t>讲课学时在40学时以上的课程可安排和组织期中考试；需要</w:t>
      </w:r>
      <w:r>
        <w:rPr>
          <w:rFonts w:ascii="仿宋" w:hAnsi="仿宋" w:eastAsia="仿宋"/>
          <w:sz w:val="32"/>
          <w:szCs w:val="32"/>
        </w:rPr>
        <w:t>教务处</w:t>
      </w:r>
      <w:r>
        <w:rPr>
          <w:rFonts w:hint="eastAsia" w:ascii="仿宋" w:hAnsi="仿宋" w:eastAsia="仿宋"/>
          <w:sz w:val="32"/>
          <w:szCs w:val="32"/>
        </w:rPr>
        <w:t>集中</w:t>
      </w:r>
      <w:r>
        <w:rPr>
          <w:rFonts w:ascii="仿宋" w:hAnsi="仿宋" w:eastAsia="仿宋"/>
          <w:sz w:val="32"/>
          <w:szCs w:val="32"/>
        </w:rPr>
        <w:t>安排的公共基础课</w:t>
      </w:r>
      <w:r>
        <w:rPr>
          <w:rFonts w:hint="eastAsia" w:ascii="仿宋" w:hAnsi="仿宋" w:eastAsia="仿宋"/>
          <w:sz w:val="32"/>
          <w:szCs w:val="32"/>
        </w:rPr>
        <w:t>考试，请提前三周将</w:t>
      </w:r>
      <w:r>
        <w:rPr>
          <w:rFonts w:ascii="仿宋" w:hAnsi="仿宋" w:eastAsia="仿宋"/>
          <w:sz w:val="32"/>
          <w:szCs w:val="32"/>
        </w:rPr>
        <w:t>课程名称及考试时间</w:t>
      </w:r>
      <w:r>
        <w:rPr>
          <w:rFonts w:hint="eastAsia" w:ascii="仿宋" w:hAnsi="仿宋" w:eastAsia="仿宋"/>
          <w:sz w:val="32"/>
          <w:szCs w:val="32"/>
        </w:rPr>
        <w:t>报送教务处教学运行办公室（大兴校区综合楼309），</w:t>
      </w:r>
      <w:r>
        <w:rPr>
          <w:rFonts w:hint="eastAsia" w:ascii="仿宋_GB2312" w:eastAsia="仿宋_GB2312"/>
          <w:sz w:val="32"/>
          <w:szCs w:val="32"/>
        </w:rPr>
        <w:t>电子版发送至李亚翠老师邮箱：liyacui@bucea.edu.cn信箱。</w:t>
      </w:r>
    </w:p>
    <w:p>
      <w:pPr>
        <w:snapToGrid w:val="0"/>
        <w:spacing w:before="156" w:beforeLines="50" w:after="156" w:afterLines="50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二、检查方式</w:t>
      </w:r>
    </w:p>
    <w:p>
      <w:pPr>
        <w:snapToGrid w:val="0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学院（部）自查自评与学校抽查检查相结合，强化检查与指导力度。</w:t>
      </w:r>
    </w:p>
    <w:p>
      <w:pPr>
        <w:numPr>
          <w:ilvl w:val="0"/>
          <w:numId w:val="2"/>
        </w:numPr>
        <w:snapToGrid w:val="0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校院督导组监督与指导</w:t>
      </w:r>
    </w:p>
    <w:p>
      <w:pPr>
        <w:snapToGrid w:val="0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为加强教学督导的“督教、督学、督管”的职能，各学院（部）组织本院部督导组开展相关检查工作。</w:t>
      </w:r>
    </w:p>
    <w:p>
      <w:pPr>
        <w:snapToGrid w:val="0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color w:val="0000FF"/>
          <w:sz w:val="32"/>
          <w:szCs w:val="32"/>
        </w:rPr>
        <w:t>各院部对青年教师培养和工程实践能力提高情况进行专项自查检查，并组织召开由青年教师、青年教师导师代表和院部领导参加的院部座谈会，校督导专家组参会。请各院部提前一周将座谈会安排报送教务处质量科（尽可能安排在周二下午）</w:t>
      </w:r>
      <w:r>
        <w:rPr>
          <w:rFonts w:hint="eastAsia" w:ascii="仿宋" w:hAnsi="仿宋" w:eastAsia="仿宋"/>
          <w:sz w:val="32"/>
          <w:szCs w:val="32"/>
        </w:rPr>
        <w:t>。</w:t>
      </w:r>
      <w:r>
        <w:rPr>
          <w:rFonts w:hint="eastAsia" w:ascii="仿宋" w:hAnsi="仿宋" w:eastAsia="仿宋"/>
          <w:color w:val="0000FF"/>
          <w:sz w:val="32"/>
          <w:szCs w:val="32"/>
        </w:rPr>
        <w:t>校督导分组安排表见附件1。</w:t>
      </w:r>
    </w:p>
    <w:p>
      <w:pPr>
        <w:numPr>
          <w:ilvl w:val="0"/>
          <w:numId w:val="2"/>
        </w:numPr>
        <w:snapToGrid w:val="0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组织听课、查课和学生网上评教</w:t>
      </w:r>
    </w:p>
    <w:p>
      <w:pPr>
        <w:snapToGrid w:val="0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根据《北京建筑大学听课制度》（教字[2018]57号）（见附件2），校领导、各相关职能部门和学院领导、教师和管理人员开展听课。请各学院（部）做好相关安排并形成“重点课程检查情况总结”课堂教学评价表见附件3。</w:t>
      </w:r>
    </w:p>
    <w:p>
      <w:pPr>
        <w:snapToGrid w:val="0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学生网上评教使用新教务系统开展分级评教，学生按照优秀（95分）、良好（85分）、中等（75分）、尚可（65）、差（55）五级评教，学生评教总优秀率不得超过50%</w:t>
      </w:r>
      <w:r>
        <w:rPr>
          <w:rFonts w:hint="eastAsia" w:ascii="仿宋_GB2312" w:eastAsia="仿宋_GB2312"/>
          <w:sz w:val="32"/>
          <w:szCs w:val="32"/>
        </w:rPr>
        <w:t>，评教结束后，适时公布按课程分类排名前20%的教师及所授课程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napToGrid w:val="0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请各学院（部）做好组织动员工作，按照网上评价的时间要求，动员并组织好学生网上评教，安排好本学院（部）领导、督导组专家和教师同行的网上评价工作。</w:t>
      </w:r>
    </w:p>
    <w:p>
      <w:pPr>
        <w:snapToGrid w:val="0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教师网上评教、评学系统已经开放，开放时间截止到第1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/>
          <w:sz w:val="32"/>
          <w:szCs w:val="32"/>
        </w:rPr>
        <w:t>周周五（元月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14</w:t>
      </w:r>
      <w:r>
        <w:rPr>
          <w:rFonts w:hint="eastAsia" w:ascii="仿宋" w:hAnsi="仿宋" w:eastAsia="仿宋"/>
          <w:sz w:val="32"/>
          <w:szCs w:val="32"/>
        </w:rPr>
        <w:t>日），详见附件4：《关于2021/2022学年第一学期教学评价工作安排的通知》。各院部老师听课后请直接将听课结果录入系统。</w:t>
      </w:r>
      <w:bookmarkStart w:id="0" w:name="_GoBack"/>
      <w:bookmarkEnd w:id="0"/>
    </w:p>
    <w:p>
      <w:pPr>
        <w:snapToGrid w:val="0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本学期学生评教评价分两段进行，第一阶段为13周前开设的课程，学生评教于第12周-13周（11月22日-12月5日）进行；第二阶段评价14周后的课程，评价时间为18周周四-29周周五（2022年1月6日-2020年1月14日）。详见附件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/>
          <w:sz w:val="32"/>
          <w:szCs w:val="32"/>
        </w:rPr>
        <w:t>中关于学生评教部分。无课堂讲授或辅导的课程不参加评教， 请各院部于第7周周五（10月22日）前将不参加评教的课程报表（附件5）发送tangqiuhong@bucea.edu.cn邮箱。</w:t>
      </w:r>
    </w:p>
    <w:p>
      <w:pPr>
        <w:snapToGrid w:val="0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2020/2021学年第二学期学生评教排名前20%教师及所授课程（以学院为单位，按学生评教问卷发放10份以上，学生参评率60%以上进行分类统计）已发布在教务处网站上。</w:t>
      </w:r>
    </w:p>
    <w:p>
      <w:pPr>
        <w:snapToGrid w:val="0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教学评价是提高教学质量的重要举措，请各学院（部）做好组织动员工作，按照网上评价的时间要求，安排好本学院（部）领导、督导专家和教师的网上评价工作，动员并组织好学生网上评教。请特别注意，学生未按时评教，将无法查看成绩。</w:t>
      </w:r>
    </w:p>
    <w:p>
      <w:pPr>
        <w:snapToGrid w:val="0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3、召开教师座谈会和学生座谈会</w:t>
      </w:r>
    </w:p>
    <w:p>
      <w:pPr>
        <w:snapToGrid w:val="0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各学院（部）组织召开教师座谈会，对开学以来各教学环节的运行情况、教学中存在的问题，提出解决办法或建议。</w:t>
      </w:r>
    </w:p>
    <w:p>
      <w:pPr>
        <w:snapToGrid w:val="0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各学院召开学生信息员座谈会，广泛听取学生对各教学环节及教学管理工作的意见和建议。教务处、学工部参加学生信息员座谈会，座谈会安排见附件6。</w:t>
      </w:r>
    </w:p>
    <w:p>
      <w:pPr>
        <w:snapToGrid w:val="0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4、对期中考试的课程，特别是公共课、基础课进行成绩分析，形成分析报告。</w:t>
      </w:r>
    </w:p>
    <w:p>
      <w:pPr>
        <w:snapToGrid w:val="0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除上述检查方式外，各学院（部）可根据学院（部）教学实际情况，合理采用其他检查方式。</w:t>
      </w:r>
    </w:p>
    <w:p>
      <w:pPr>
        <w:snapToGrid w:val="0"/>
        <w:spacing w:before="156" w:beforeLines="50" w:after="156" w:afterLines="50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三、检查资料的提交</w:t>
      </w:r>
    </w:p>
    <w:p>
      <w:pPr>
        <w:snapToGrid w:val="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1、教学改进措施表</w:t>
      </w:r>
    </w:p>
    <w:p>
      <w:pPr>
        <w:snapToGrid w:val="0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期中教学检查中发现的问题、整改措施或需教务处协商其他部门重点解决的教学与管理中的问题，填写附件7《期中教学检查汇总表》，并在期中教学检查总结中予以体现。</w:t>
      </w:r>
    </w:p>
    <w:p>
      <w:pPr>
        <w:snapToGrid w:val="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2、期中教学检查总结</w:t>
      </w:r>
    </w:p>
    <w:p>
      <w:pPr>
        <w:snapToGrid w:val="0"/>
        <w:ind w:firstLine="640" w:firstLineChars="200"/>
        <w:rPr>
          <w:rFonts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请各学院（部）于第14周周二（12月7日）前提交期中教学检查总结，电子版发送tangqiuhong@bucea.edu.cn，纸质版交至大兴校区综合楼307办公室。</w:t>
      </w:r>
    </w:p>
    <w:p>
      <w:pPr>
        <w:snapToGrid w:val="0"/>
        <w:spacing w:before="156" w:beforeLines="50" w:after="156" w:afterLines="50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四、问题反馈</w:t>
      </w:r>
    </w:p>
    <w:p>
      <w:pPr>
        <w:snapToGrid w:val="0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本学期期中教学检查后，教务处将针对此次期中教学检查反映的问题进行汇总，教务处监督整改落实情况。需教务处协助解决的问题转交相关部门并予以反馈。</w:t>
      </w:r>
    </w:p>
    <w:p>
      <w:pPr>
        <w:wordWrap w:val="0"/>
        <w:snapToGrid w:val="0"/>
        <w:ind w:firstLine="640" w:firstLineChars="200"/>
        <w:jc w:val="right"/>
        <w:rPr>
          <w:rFonts w:ascii="仿宋" w:hAnsi="仿宋" w:eastAsia="仿宋"/>
          <w:sz w:val="32"/>
          <w:szCs w:val="32"/>
        </w:rPr>
      </w:pPr>
    </w:p>
    <w:p>
      <w:pPr>
        <w:snapToGrid w:val="0"/>
        <w:ind w:firstLine="640" w:firstLineChars="200"/>
        <w:jc w:val="right"/>
        <w:rPr>
          <w:rFonts w:ascii="仿宋" w:hAnsi="仿宋" w:eastAsia="仿宋"/>
          <w:sz w:val="32"/>
          <w:szCs w:val="32"/>
        </w:rPr>
      </w:pPr>
    </w:p>
    <w:p>
      <w:pPr>
        <w:snapToGrid w:val="0"/>
        <w:ind w:firstLine="640" w:firstLineChars="200"/>
        <w:jc w:val="right"/>
        <w:rPr>
          <w:rFonts w:ascii="仿宋" w:hAnsi="仿宋" w:eastAsia="仿宋"/>
          <w:sz w:val="32"/>
          <w:szCs w:val="32"/>
        </w:rPr>
      </w:pPr>
    </w:p>
    <w:p>
      <w:pPr>
        <w:snapToGrid w:val="0"/>
        <w:ind w:firstLine="640" w:firstLineChars="200"/>
        <w:jc w:val="right"/>
        <w:rPr>
          <w:rFonts w:ascii="仿宋" w:hAnsi="仿宋" w:eastAsia="仿宋"/>
          <w:sz w:val="32"/>
          <w:szCs w:val="32"/>
        </w:rPr>
      </w:pPr>
    </w:p>
    <w:p>
      <w:pPr>
        <w:wordWrap w:val="0"/>
        <w:snapToGrid w:val="0"/>
        <w:ind w:firstLine="640" w:firstLineChars="200"/>
        <w:jc w:val="righ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教务处 </w:t>
      </w:r>
      <w:r>
        <w:rPr>
          <w:rFonts w:ascii="仿宋" w:hAnsi="仿宋" w:eastAsia="仿宋"/>
          <w:sz w:val="32"/>
          <w:szCs w:val="32"/>
        </w:rPr>
        <w:t xml:space="preserve">    </w:t>
      </w:r>
    </w:p>
    <w:p>
      <w:pPr>
        <w:snapToGrid w:val="0"/>
        <w:ind w:firstLine="640" w:firstLineChars="200"/>
        <w:jc w:val="righ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2021年10月7日</w:t>
      </w:r>
    </w:p>
    <w:p>
      <w:pPr>
        <w:snapToGrid w:val="0"/>
        <w:ind w:firstLine="640" w:firstLineChars="200"/>
        <w:jc w:val="right"/>
        <w:rPr>
          <w:rFonts w:ascii="仿宋" w:hAnsi="仿宋" w:eastAsia="仿宋"/>
          <w:sz w:val="32"/>
          <w:szCs w:val="32"/>
        </w:rPr>
      </w:pPr>
    </w:p>
    <w:p>
      <w:pPr>
        <w:snapToGrid w:val="0"/>
        <w:spacing w:before="156" w:beforeLines="50" w:after="156" w:afterLines="5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附件</w:t>
      </w:r>
      <w:r>
        <w:rPr>
          <w:rFonts w:hint="eastAsia" w:ascii="仿宋" w:hAnsi="仿宋" w:eastAsia="仿宋"/>
          <w:sz w:val="32"/>
          <w:szCs w:val="32"/>
        </w:rPr>
        <w:t>：</w:t>
      </w:r>
    </w:p>
    <w:p>
      <w:pPr>
        <w:snapToGrid w:val="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附件1.校督导参与各院部教学检查督导安排</w:t>
      </w:r>
    </w:p>
    <w:p>
      <w:pPr>
        <w:snapToGrid w:val="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附件2：《北京建筑大学听课制度》,</w:t>
      </w:r>
    </w:p>
    <w:p>
      <w:pPr>
        <w:snapToGrid w:val="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附件3：课堂教学评价表表</w:t>
      </w:r>
    </w:p>
    <w:p>
      <w:pPr>
        <w:snapToGrid w:val="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附件4：《关于2021/2022学年第一学期教学评价工作安排的通知》</w:t>
      </w:r>
    </w:p>
    <w:p>
      <w:pPr>
        <w:snapToGrid w:val="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附件5：不参加评教的课程报表</w:t>
      </w:r>
    </w:p>
    <w:p>
      <w:pPr>
        <w:snapToGrid w:val="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附件6：关于校院两级督导、教务处、学工部参加学生信息员座谈会的通知</w:t>
      </w:r>
    </w:p>
    <w:p>
      <w:pPr>
        <w:snapToGrid w:val="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附件7：期中教学检查汇总表</w:t>
      </w:r>
    </w:p>
    <w:p>
      <w:pPr>
        <w:snapToGrid w:val="0"/>
        <w:jc w:val="left"/>
        <w:rPr>
          <w:rFonts w:ascii="仿宋" w:hAnsi="仿宋" w:eastAsia="仿宋"/>
          <w:sz w:val="32"/>
          <w:szCs w:val="32"/>
          <w:highlight w:val="lightGray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长城小标宋体">
    <w:altName w:val="宋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创艺简标宋">
    <w:altName w:val="方正舒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方正小标宋简体">
    <w:altName w:val="方正舒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579100081"/>
    </w:sdtPr>
    <w:sdtContent>
      <w:p>
        <w:pPr>
          <w:pStyle w:val="3"/>
          <w:jc w:val="right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-</w:t>
        </w:r>
        <w:r>
          <w:t xml:space="preserve"> 1 -</w:t>
        </w:r>
        <w:r>
          <w:fldChar w:fldCharType="end"/>
        </w:r>
      </w:p>
    </w:sdtContent>
  </w:sdt>
  <w:p>
    <w:pPr>
      <w:pStyle w:val="3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6062E4A"/>
    <w:multiLevelType w:val="singleLevel"/>
    <w:tmpl w:val="A6062E4A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5BAF9774"/>
    <w:multiLevelType w:val="singleLevel"/>
    <w:tmpl w:val="5BAF9774"/>
    <w:lvl w:ilvl="0" w:tentative="0">
      <w:start w:val="1"/>
      <w:numFmt w:val="decimal"/>
      <w:suff w:val="nothing"/>
      <w:lvlText w:val="%1、"/>
      <w:lvlJc w:val="left"/>
      <w:pPr>
        <w:ind w:left="-1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trackRevisions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2D41"/>
    <w:rsid w:val="00002441"/>
    <w:rsid w:val="00017ACF"/>
    <w:rsid w:val="000329D8"/>
    <w:rsid w:val="0003303B"/>
    <w:rsid w:val="00047487"/>
    <w:rsid w:val="0007173A"/>
    <w:rsid w:val="00085BA1"/>
    <w:rsid w:val="00085D81"/>
    <w:rsid w:val="000B2EA5"/>
    <w:rsid w:val="000B760C"/>
    <w:rsid w:val="000C2527"/>
    <w:rsid w:val="000C664E"/>
    <w:rsid w:val="000D5204"/>
    <w:rsid w:val="00130602"/>
    <w:rsid w:val="00142D41"/>
    <w:rsid w:val="00151B0B"/>
    <w:rsid w:val="00156E9C"/>
    <w:rsid w:val="0016548F"/>
    <w:rsid w:val="001C4378"/>
    <w:rsid w:val="001F7716"/>
    <w:rsid w:val="00203DC2"/>
    <w:rsid w:val="0020617A"/>
    <w:rsid w:val="00245F1F"/>
    <w:rsid w:val="00266D04"/>
    <w:rsid w:val="00276F99"/>
    <w:rsid w:val="002855AE"/>
    <w:rsid w:val="00285792"/>
    <w:rsid w:val="00286A22"/>
    <w:rsid w:val="002B1359"/>
    <w:rsid w:val="002B40C3"/>
    <w:rsid w:val="002C73B7"/>
    <w:rsid w:val="002D1717"/>
    <w:rsid w:val="002D2B44"/>
    <w:rsid w:val="002F228F"/>
    <w:rsid w:val="00304AFB"/>
    <w:rsid w:val="00334504"/>
    <w:rsid w:val="00340831"/>
    <w:rsid w:val="00345227"/>
    <w:rsid w:val="00382CCB"/>
    <w:rsid w:val="0038489C"/>
    <w:rsid w:val="00387D0D"/>
    <w:rsid w:val="00391CFE"/>
    <w:rsid w:val="003A6D9B"/>
    <w:rsid w:val="003B5952"/>
    <w:rsid w:val="003E4F99"/>
    <w:rsid w:val="004035B8"/>
    <w:rsid w:val="004048AC"/>
    <w:rsid w:val="00404CF8"/>
    <w:rsid w:val="0041141F"/>
    <w:rsid w:val="00420B31"/>
    <w:rsid w:val="004253A5"/>
    <w:rsid w:val="00445E4B"/>
    <w:rsid w:val="00454EBE"/>
    <w:rsid w:val="00467F63"/>
    <w:rsid w:val="004761AB"/>
    <w:rsid w:val="00477DEA"/>
    <w:rsid w:val="00480883"/>
    <w:rsid w:val="004864CF"/>
    <w:rsid w:val="00487ED7"/>
    <w:rsid w:val="004A1E41"/>
    <w:rsid w:val="004A517B"/>
    <w:rsid w:val="004B5B26"/>
    <w:rsid w:val="004C364D"/>
    <w:rsid w:val="004D7187"/>
    <w:rsid w:val="005001AD"/>
    <w:rsid w:val="00537E18"/>
    <w:rsid w:val="00553A72"/>
    <w:rsid w:val="005710DD"/>
    <w:rsid w:val="00571CCC"/>
    <w:rsid w:val="00582182"/>
    <w:rsid w:val="00582E82"/>
    <w:rsid w:val="005865C2"/>
    <w:rsid w:val="00587330"/>
    <w:rsid w:val="00591996"/>
    <w:rsid w:val="005A0718"/>
    <w:rsid w:val="005C708E"/>
    <w:rsid w:val="005E3248"/>
    <w:rsid w:val="005E6BF4"/>
    <w:rsid w:val="005F15C7"/>
    <w:rsid w:val="005F2359"/>
    <w:rsid w:val="005F4CA7"/>
    <w:rsid w:val="00611624"/>
    <w:rsid w:val="006123A9"/>
    <w:rsid w:val="006356CA"/>
    <w:rsid w:val="00654306"/>
    <w:rsid w:val="006630C9"/>
    <w:rsid w:val="00664929"/>
    <w:rsid w:val="0066740F"/>
    <w:rsid w:val="0067382F"/>
    <w:rsid w:val="006810BF"/>
    <w:rsid w:val="00685BC6"/>
    <w:rsid w:val="00695D4A"/>
    <w:rsid w:val="006C19F9"/>
    <w:rsid w:val="006C2527"/>
    <w:rsid w:val="006D0955"/>
    <w:rsid w:val="006E5931"/>
    <w:rsid w:val="006F6E67"/>
    <w:rsid w:val="007205AA"/>
    <w:rsid w:val="00735148"/>
    <w:rsid w:val="007359DA"/>
    <w:rsid w:val="00736084"/>
    <w:rsid w:val="007556B1"/>
    <w:rsid w:val="00795EBD"/>
    <w:rsid w:val="007A2CD9"/>
    <w:rsid w:val="007B2185"/>
    <w:rsid w:val="007B5041"/>
    <w:rsid w:val="007C437C"/>
    <w:rsid w:val="007D0338"/>
    <w:rsid w:val="007D5690"/>
    <w:rsid w:val="007D6815"/>
    <w:rsid w:val="007F22D6"/>
    <w:rsid w:val="00820D1F"/>
    <w:rsid w:val="008304C5"/>
    <w:rsid w:val="0086205F"/>
    <w:rsid w:val="00864046"/>
    <w:rsid w:val="00871CBB"/>
    <w:rsid w:val="00877B98"/>
    <w:rsid w:val="0089636F"/>
    <w:rsid w:val="008C17C8"/>
    <w:rsid w:val="00902623"/>
    <w:rsid w:val="009136B8"/>
    <w:rsid w:val="0091479D"/>
    <w:rsid w:val="0092275F"/>
    <w:rsid w:val="00951EAE"/>
    <w:rsid w:val="0099101E"/>
    <w:rsid w:val="009A6B11"/>
    <w:rsid w:val="009B6523"/>
    <w:rsid w:val="009B6E8E"/>
    <w:rsid w:val="009C5E7B"/>
    <w:rsid w:val="009D6DC4"/>
    <w:rsid w:val="009E3E7F"/>
    <w:rsid w:val="00A12239"/>
    <w:rsid w:val="00A32459"/>
    <w:rsid w:val="00A44CC1"/>
    <w:rsid w:val="00A509A2"/>
    <w:rsid w:val="00A5762F"/>
    <w:rsid w:val="00A7446D"/>
    <w:rsid w:val="00A87126"/>
    <w:rsid w:val="00AA1D7A"/>
    <w:rsid w:val="00AA4052"/>
    <w:rsid w:val="00AA57B3"/>
    <w:rsid w:val="00AA7D13"/>
    <w:rsid w:val="00AB3387"/>
    <w:rsid w:val="00AE3A07"/>
    <w:rsid w:val="00AF219E"/>
    <w:rsid w:val="00B1651E"/>
    <w:rsid w:val="00B2270B"/>
    <w:rsid w:val="00B45F8C"/>
    <w:rsid w:val="00B5659B"/>
    <w:rsid w:val="00B716D4"/>
    <w:rsid w:val="00BA7C8D"/>
    <w:rsid w:val="00BD6EB2"/>
    <w:rsid w:val="00BE0C71"/>
    <w:rsid w:val="00BF549C"/>
    <w:rsid w:val="00C0318C"/>
    <w:rsid w:val="00C049B4"/>
    <w:rsid w:val="00C07FF3"/>
    <w:rsid w:val="00C11F03"/>
    <w:rsid w:val="00C1223B"/>
    <w:rsid w:val="00C3645F"/>
    <w:rsid w:val="00C43EFF"/>
    <w:rsid w:val="00C62F3B"/>
    <w:rsid w:val="00C648D4"/>
    <w:rsid w:val="00C70D11"/>
    <w:rsid w:val="00C92771"/>
    <w:rsid w:val="00C959D3"/>
    <w:rsid w:val="00CA563A"/>
    <w:rsid w:val="00CB7C7B"/>
    <w:rsid w:val="00CC1528"/>
    <w:rsid w:val="00CC4D0C"/>
    <w:rsid w:val="00CE0238"/>
    <w:rsid w:val="00CF3207"/>
    <w:rsid w:val="00D162D9"/>
    <w:rsid w:val="00D51E2F"/>
    <w:rsid w:val="00D570E2"/>
    <w:rsid w:val="00D70F5A"/>
    <w:rsid w:val="00D7471C"/>
    <w:rsid w:val="00D86556"/>
    <w:rsid w:val="00D94441"/>
    <w:rsid w:val="00D94573"/>
    <w:rsid w:val="00DA1A04"/>
    <w:rsid w:val="00DA68A3"/>
    <w:rsid w:val="00DB2FB6"/>
    <w:rsid w:val="00DB7816"/>
    <w:rsid w:val="00DE37C1"/>
    <w:rsid w:val="00DF05C3"/>
    <w:rsid w:val="00DF4CDE"/>
    <w:rsid w:val="00DF6B30"/>
    <w:rsid w:val="00DF7751"/>
    <w:rsid w:val="00DF7EB3"/>
    <w:rsid w:val="00E13072"/>
    <w:rsid w:val="00E211F0"/>
    <w:rsid w:val="00E2563E"/>
    <w:rsid w:val="00E304E6"/>
    <w:rsid w:val="00E32321"/>
    <w:rsid w:val="00E502EF"/>
    <w:rsid w:val="00E93778"/>
    <w:rsid w:val="00EA6B04"/>
    <w:rsid w:val="00EC4BAA"/>
    <w:rsid w:val="00ED7E25"/>
    <w:rsid w:val="00F21346"/>
    <w:rsid w:val="00F30E94"/>
    <w:rsid w:val="00F32034"/>
    <w:rsid w:val="00F82104"/>
    <w:rsid w:val="00F9379E"/>
    <w:rsid w:val="00F93933"/>
    <w:rsid w:val="00F94DF4"/>
    <w:rsid w:val="00FA5940"/>
    <w:rsid w:val="00FA595A"/>
    <w:rsid w:val="00FB4EF4"/>
    <w:rsid w:val="00FC6E59"/>
    <w:rsid w:val="00FF17DB"/>
    <w:rsid w:val="00FF3540"/>
    <w:rsid w:val="03272DC6"/>
    <w:rsid w:val="03463476"/>
    <w:rsid w:val="03C933FA"/>
    <w:rsid w:val="04F7642F"/>
    <w:rsid w:val="09E81DD3"/>
    <w:rsid w:val="0A095920"/>
    <w:rsid w:val="0B1C4D25"/>
    <w:rsid w:val="0EBA79C3"/>
    <w:rsid w:val="1C286FB4"/>
    <w:rsid w:val="1CBB3062"/>
    <w:rsid w:val="2EC52AA6"/>
    <w:rsid w:val="2F6243C8"/>
    <w:rsid w:val="30786C2E"/>
    <w:rsid w:val="33707762"/>
    <w:rsid w:val="38C15A66"/>
    <w:rsid w:val="3BD10CEF"/>
    <w:rsid w:val="3C960A2A"/>
    <w:rsid w:val="3D3E3901"/>
    <w:rsid w:val="41643C8B"/>
    <w:rsid w:val="4B0E4B39"/>
    <w:rsid w:val="4CB855C1"/>
    <w:rsid w:val="4F975D1E"/>
    <w:rsid w:val="5020197E"/>
    <w:rsid w:val="50450286"/>
    <w:rsid w:val="50A46CC9"/>
    <w:rsid w:val="53D22865"/>
    <w:rsid w:val="5580631A"/>
    <w:rsid w:val="5648172E"/>
    <w:rsid w:val="565642B0"/>
    <w:rsid w:val="573B2CDA"/>
    <w:rsid w:val="5DA55F90"/>
    <w:rsid w:val="5E1876D0"/>
    <w:rsid w:val="68097C7E"/>
    <w:rsid w:val="6CB05161"/>
    <w:rsid w:val="6EA82CE5"/>
    <w:rsid w:val="7187759F"/>
    <w:rsid w:val="721407F2"/>
    <w:rsid w:val="72AC405F"/>
    <w:rsid w:val="75F30665"/>
    <w:rsid w:val="76241932"/>
    <w:rsid w:val="762A6A9D"/>
    <w:rsid w:val="7AD6556D"/>
    <w:rsid w:val="7E035932"/>
    <w:rsid w:val="7F305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8">
    <w:name w:val="Emphasis"/>
    <w:basedOn w:val="7"/>
    <w:qFormat/>
    <w:uiPriority w:val="20"/>
    <w:rPr>
      <w:i/>
    </w:rPr>
  </w:style>
  <w:style w:type="character" w:styleId="9">
    <w:name w:val="Hyperlink"/>
    <w:basedOn w:val="7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10">
    <w:name w:val="批注框文本 字符"/>
    <w:basedOn w:val="7"/>
    <w:link w:val="2"/>
    <w:semiHidden/>
    <w:qFormat/>
    <w:uiPriority w:val="99"/>
    <w:rPr>
      <w:sz w:val="18"/>
      <w:szCs w:val="18"/>
    </w:rPr>
  </w:style>
  <w:style w:type="character" w:customStyle="1" w:styleId="11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12">
    <w:name w:val="页脚 字符"/>
    <w:basedOn w:val="7"/>
    <w:link w:val="3"/>
    <w:qFormat/>
    <w:uiPriority w:val="99"/>
    <w:rPr>
      <w:sz w:val="18"/>
      <w:szCs w:val="18"/>
    </w:rPr>
  </w:style>
  <w:style w:type="paragraph" w:customStyle="1" w:styleId="13">
    <w:name w:val="列出段落1"/>
    <w:basedOn w:val="1"/>
    <w:qFormat/>
    <w:uiPriority w:val="34"/>
    <w:pPr>
      <w:ind w:firstLine="420" w:firstLineChars="200"/>
    </w:pPr>
  </w:style>
  <w:style w:type="character" w:customStyle="1" w:styleId="14">
    <w:name w:val="font61"/>
    <w:basedOn w:val="7"/>
    <w:qFormat/>
    <w:uiPriority w:val="0"/>
    <w:rPr>
      <w:rFonts w:hint="eastAsia" w:ascii="宋体" w:hAnsi="宋体" w:eastAsia="宋体" w:cs="宋体"/>
      <w:b/>
      <w:color w:val="000000"/>
      <w:sz w:val="24"/>
      <w:szCs w:val="24"/>
      <w:u w:val="none"/>
    </w:rPr>
  </w:style>
  <w:style w:type="character" w:customStyle="1" w:styleId="15">
    <w:name w:val="font31"/>
    <w:basedOn w:val="7"/>
    <w:qFormat/>
    <w:uiPriority w:val="0"/>
    <w:rPr>
      <w:rFonts w:hint="default" w:ascii="Segoe UI" w:hAnsi="Segoe UI" w:eastAsia="Segoe UI" w:cs="Segoe UI"/>
      <w:b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704CE35-D043-47C7-8032-F0CF19F9D23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Hewlett-Packard Company</Company>
  <Pages>4</Pages>
  <Words>360</Words>
  <Characters>2053</Characters>
  <Lines>17</Lines>
  <Paragraphs>4</Paragraphs>
  <TotalTime>5</TotalTime>
  <ScaleCrop>false</ScaleCrop>
  <LinksUpToDate>false</LinksUpToDate>
  <CharactersWithSpaces>2409</CharactersWithSpaces>
  <Application>WPS Office_11.3.0.8775_F1E327BC-269C-435d-A152-05C5408002CA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2019-04-16T07:20:00Z</dcterms:created>
  <dc:creator>赵林琳</dc:creator>
  <cp:lastModifiedBy>ROAMER</cp:lastModifiedBy>
  <cp:lastPrinted>2020-09-27T06:20:00Z</cp:lastPrinted>
  <dcterms:modified xsi:type="dcterms:W3CDTF">2021-10-18T01:36:17Z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  <property fmtid="{D5CDD505-2E9C-101B-9397-08002B2CF9AE}" pid="3" name="ICV">
    <vt:lpwstr>87ACFF60A1434E24A376ED2309CC4550</vt:lpwstr>
  </property>
</Properties>
</file>